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479AC" w14:textId="77777777" w:rsidR="009C7F54" w:rsidRPr="00073984" w:rsidRDefault="009C7F54" w:rsidP="009C7F54">
      <w:pPr>
        <w:spacing w:after="0" w:line="240" w:lineRule="auto"/>
        <w:jc w:val="center"/>
        <w:rPr>
          <w:rFonts w:ascii="Cambria" w:eastAsia="Batang" w:hAnsi="Cambria" w:cs="Times New Roman"/>
          <w:b/>
          <w:color w:val="009999"/>
          <w:sz w:val="32"/>
          <w:szCs w:val="32"/>
          <w:lang w:val="en-GB"/>
        </w:rPr>
      </w:pPr>
    </w:p>
    <w:p w14:paraId="6A1C99AB" w14:textId="33422709" w:rsidR="000A7D2E" w:rsidRPr="00073984" w:rsidRDefault="00FB74BD" w:rsidP="000A7D2E">
      <w:pPr>
        <w:spacing w:after="0" w:line="240" w:lineRule="auto"/>
        <w:jc w:val="center"/>
        <w:rPr>
          <w:rFonts w:ascii="Cambria" w:eastAsia="Batang" w:hAnsi="Cambria" w:cs="Times New Roman"/>
          <w:b/>
          <w:bCs/>
          <w:color w:val="009999"/>
          <w:sz w:val="32"/>
          <w:szCs w:val="32"/>
          <w:lang w:val="en-GB"/>
        </w:rPr>
      </w:pPr>
      <w:r w:rsidRPr="00073984">
        <w:rPr>
          <w:rFonts w:ascii="Cambria" w:eastAsia="Batang" w:hAnsi="Cambria" w:cs="Times New Roman"/>
          <w:b/>
          <w:bCs/>
          <w:color w:val="009999"/>
          <w:sz w:val="32"/>
          <w:szCs w:val="32"/>
          <w:lang w:val="en-GB"/>
        </w:rPr>
        <w:t xml:space="preserve">Appealing the action of seizure (levy) imposed to </w:t>
      </w:r>
      <w:r w:rsidR="00173662" w:rsidRPr="00073984">
        <w:rPr>
          <w:rFonts w:ascii="Cambria" w:eastAsia="Batang" w:hAnsi="Cambria" w:cs="Times New Roman"/>
          <w:b/>
          <w:bCs/>
          <w:color w:val="009999"/>
          <w:sz w:val="32"/>
          <w:szCs w:val="32"/>
          <w:lang w:val="en-GB"/>
        </w:rPr>
        <w:t>satisfy</w:t>
      </w:r>
      <w:r w:rsidRPr="00073984">
        <w:rPr>
          <w:rFonts w:ascii="Cambria" w:eastAsia="Batang" w:hAnsi="Cambria" w:cs="Times New Roman"/>
          <w:b/>
          <w:bCs/>
          <w:color w:val="009999"/>
          <w:sz w:val="32"/>
          <w:szCs w:val="32"/>
          <w:lang w:val="en-GB"/>
        </w:rPr>
        <w:t xml:space="preserve"> tax liability</w:t>
      </w:r>
    </w:p>
    <w:p w14:paraId="66401B52" w14:textId="77777777" w:rsidR="00F1708B" w:rsidRPr="00073984" w:rsidRDefault="00F1708B" w:rsidP="009C7F54">
      <w:pPr>
        <w:spacing w:after="0" w:line="240" w:lineRule="auto"/>
        <w:jc w:val="center"/>
        <w:rPr>
          <w:rFonts w:ascii="Cambria" w:eastAsia="Batang" w:hAnsi="Cambria" w:cs="Times New Roman"/>
          <w:sz w:val="24"/>
          <w:szCs w:val="24"/>
          <w:lang w:val="en-GB"/>
        </w:rPr>
      </w:pPr>
    </w:p>
    <w:p w14:paraId="44650FB3" w14:textId="77777777" w:rsidR="000A7D2E" w:rsidRPr="00073984" w:rsidRDefault="000A7D2E" w:rsidP="000A7D2E">
      <w:pPr>
        <w:spacing w:after="200" w:line="276" w:lineRule="auto"/>
        <w:jc w:val="both"/>
        <w:rPr>
          <w:rFonts w:ascii="Cambria" w:eastAsia="Calibri" w:hAnsi="Cambria" w:cs="Times New Roman"/>
          <w:sz w:val="24"/>
          <w:lang w:val="en-GB"/>
        </w:rPr>
      </w:pPr>
    </w:p>
    <w:p w14:paraId="165A0DE8" w14:textId="6014D459" w:rsidR="000A7D2E" w:rsidRDefault="00073984" w:rsidP="000A7D2E">
      <w:pPr>
        <w:spacing w:after="200" w:line="276" w:lineRule="auto"/>
        <w:jc w:val="both"/>
        <w:rPr>
          <w:rFonts w:ascii="Cambria" w:eastAsia="Calibri" w:hAnsi="Cambria" w:cs="Times New Roman"/>
          <w:sz w:val="24"/>
          <w:lang w:val="en-GB"/>
        </w:rPr>
      </w:pPr>
      <w:r w:rsidRPr="00073984">
        <w:rPr>
          <w:rFonts w:ascii="Cambria" w:eastAsia="Calibri" w:hAnsi="Cambria" w:cs="Times New Roman"/>
          <w:sz w:val="24"/>
          <w:lang w:val="en-GB"/>
        </w:rPr>
        <w:t>In case the actions of seizure on assets have not been duly implemented and executed, the taxpayer shall be entitled to submit a complaint at the Director of the Regional Directorate of Taxes.</w:t>
      </w:r>
      <w:r>
        <w:rPr>
          <w:rFonts w:ascii="Cambria" w:eastAsia="Calibri" w:hAnsi="Cambria" w:cs="Times New Roman"/>
          <w:sz w:val="24"/>
          <w:lang w:val="en-GB"/>
        </w:rPr>
        <w:t xml:space="preserve"> This excludes cases when the uncollected debt is considered at risk in the sense of the Law No. 9920, dated 19/05/2008 “On tax procedures in the Republic of Albania”, as amended.</w:t>
      </w:r>
    </w:p>
    <w:p w14:paraId="1A233C1E" w14:textId="019479C2" w:rsidR="00073984" w:rsidRDefault="00073984" w:rsidP="000A7D2E">
      <w:pPr>
        <w:spacing w:after="200" w:line="276" w:lineRule="auto"/>
        <w:jc w:val="both"/>
        <w:rPr>
          <w:rFonts w:ascii="Cambria" w:eastAsia="Calibri" w:hAnsi="Cambria" w:cs="Times New Roman"/>
          <w:sz w:val="24"/>
          <w:lang w:val="en-GB"/>
        </w:rPr>
      </w:pPr>
      <w:r>
        <w:rPr>
          <w:rFonts w:ascii="Cambria" w:eastAsia="Calibri" w:hAnsi="Cambria" w:cs="Times New Roman"/>
          <w:sz w:val="24"/>
          <w:lang w:val="en-GB"/>
        </w:rPr>
        <w:t>The execution of the decision to take actions of seizure shall be considered undue if performed as the following:</w:t>
      </w:r>
    </w:p>
    <w:p w14:paraId="380FAEAA" w14:textId="40C36189" w:rsidR="00073984" w:rsidRDefault="00073984" w:rsidP="00073984">
      <w:pPr>
        <w:pStyle w:val="ListParagraph"/>
        <w:numPr>
          <w:ilvl w:val="0"/>
          <w:numId w:val="26"/>
        </w:numPr>
        <w:spacing w:after="200" w:line="276" w:lineRule="auto"/>
        <w:jc w:val="both"/>
        <w:rPr>
          <w:rFonts w:ascii="Cambria" w:eastAsia="Calibri" w:hAnsi="Cambria" w:cs="Times New Roman"/>
          <w:sz w:val="24"/>
          <w:lang w:val="en-GB"/>
        </w:rPr>
      </w:pPr>
      <w:r>
        <w:rPr>
          <w:rFonts w:ascii="Cambria" w:eastAsia="Calibri" w:hAnsi="Cambria" w:cs="Times New Roman"/>
          <w:sz w:val="24"/>
          <w:lang w:val="en-GB"/>
        </w:rPr>
        <w:t>When the taxpayer has not been informed in writing regarding the tax liability within the deadlines envisaged in Law No. 9920, dated 19/05/2008 “On tax procedures in the Republic of Albania”, as amended;</w:t>
      </w:r>
    </w:p>
    <w:p w14:paraId="4DC93150" w14:textId="766F233B" w:rsidR="00073984" w:rsidRDefault="00073984" w:rsidP="00073984">
      <w:pPr>
        <w:pStyle w:val="ListParagraph"/>
        <w:numPr>
          <w:ilvl w:val="0"/>
          <w:numId w:val="26"/>
        </w:numPr>
        <w:spacing w:after="200" w:line="276" w:lineRule="auto"/>
        <w:jc w:val="both"/>
        <w:rPr>
          <w:rFonts w:ascii="Cambria" w:eastAsia="Calibri" w:hAnsi="Cambria" w:cs="Times New Roman"/>
          <w:sz w:val="24"/>
          <w:lang w:val="en-GB"/>
        </w:rPr>
      </w:pPr>
      <w:r>
        <w:rPr>
          <w:rFonts w:ascii="Cambria" w:eastAsia="Calibri" w:hAnsi="Cambria" w:cs="Times New Roman"/>
          <w:sz w:val="24"/>
          <w:lang w:val="en-GB"/>
        </w:rPr>
        <w:t>When during the issuance of decision and its execution, the tax liability has been paid;</w:t>
      </w:r>
    </w:p>
    <w:p w14:paraId="20A7734A" w14:textId="7759B501" w:rsidR="00073984" w:rsidRDefault="00073984" w:rsidP="00073984">
      <w:pPr>
        <w:pStyle w:val="ListParagraph"/>
        <w:numPr>
          <w:ilvl w:val="0"/>
          <w:numId w:val="26"/>
        </w:numPr>
        <w:spacing w:after="200" w:line="276" w:lineRule="auto"/>
        <w:jc w:val="both"/>
        <w:rPr>
          <w:rFonts w:ascii="Cambria" w:eastAsia="Calibri" w:hAnsi="Cambria" w:cs="Times New Roman"/>
          <w:sz w:val="24"/>
          <w:lang w:val="en-GB"/>
        </w:rPr>
      </w:pPr>
      <w:r>
        <w:rPr>
          <w:rFonts w:ascii="Cambria" w:eastAsia="Calibri" w:hAnsi="Cambria" w:cs="Times New Roman"/>
          <w:sz w:val="24"/>
          <w:lang w:val="en-GB"/>
        </w:rPr>
        <w:t>If the property put as a mortgage-backed security or mortgage falls in the group of items that cannot be covered by the scope of execution pursuant to Article 529 of the Code of Civil Procedure;</w:t>
      </w:r>
    </w:p>
    <w:p w14:paraId="682E4509" w14:textId="1C7FFA90" w:rsidR="00073984" w:rsidRDefault="00073984" w:rsidP="00073984">
      <w:pPr>
        <w:pStyle w:val="ListParagraph"/>
        <w:numPr>
          <w:ilvl w:val="0"/>
          <w:numId w:val="26"/>
        </w:numPr>
        <w:spacing w:after="200" w:line="276" w:lineRule="auto"/>
        <w:jc w:val="both"/>
        <w:rPr>
          <w:rFonts w:ascii="Cambria" w:eastAsia="Calibri" w:hAnsi="Cambria" w:cs="Times New Roman"/>
          <w:sz w:val="24"/>
          <w:lang w:val="en-GB"/>
        </w:rPr>
      </w:pPr>
      <w:r>
        <w:rPr>
          <w:rFonts w:ascii="Cambria" w:eastAsia="Calibri" w:hAnsi="Cambria" w:cs="Times New Roman"/>
          <w:sz w:val="24"/>
          <w:lang w:val="en-GB"/>
        </w:rPr>
        <w:t xml:space="preserve">When the act used to take actions to execute the forced collection of </w:t>
      </w:r>
      <w:r w:rsidR="00B9665C">
        <w:rPr>
          <w:rFonts w:ascii="Cambria" w:eastAsia="Calibri" w:hAnsi="Cambria" w:cs="Times New Roman"/>
          <w:sz w:val="24"/>
          <w:lang w:val="en-GB"/>
        </w:rPr>
        <w:t>tax liabilities has been issued in the name of another person and not of the taxpayer.</w:t>
      </w:r>
    </w:p>
    <w:p w14:paraId="74BC2C71" w14:textId="6D7C8A68" w:rsidR="00B9665C" w:rsidRDefault="00B9665C" w:rsidP="00B9665C">
      <w:pPr>
        <w:spacing w:after="200" w:line="276" w:lineRule="auto"/>
        <w:jc w:val="both"/>
        <w:rPr>
          <w:rFonts w:ascii="Cambria" w:eastAsia="Calibri" w:hAnsi="Cambria" w:cs="Times New Roman"/>
          <w:sz w:val="24"/>
          <w:lang w:val="en-GB"/>
        </w:rPr>
      </w:pPr>
      <w:r>
        <w:rPr>
          <w:rFonts w:ascii="Cambria" w:eastAsia="Calibri" w:hAnsi="Cambria" w:cs="Times New Roman"/>
          <w:sz w:val="24"/>
          <w:lang w:val="en-GB"/>
        </w:rPr>
        <w:t>The taxpayer shall be entitled to exercise his right to appeal within 30 days upon identification of these irregularities. In any case, in the complaint, the taxpayer shall be obliged to prove to the Tax Administration the moment when he took notice for an irregularity, which must be proved only through written proof. Despite the submission of proofs from the taxpayer, when the circumstances of the case show that he had the possibility to receive notice on the execution of the decision time before, the complaint of the taxpayer shall not be taken into consideration by the Tax Administration.</w:t>
      </w:r>
    </w:p>
    <w:p w14:paraId="5DD6A0FB" w14:textId="1070C4D5" w:rsidR="00B9665C" w:rsidRPr="00B9665C" w:rsidRDefault="007E3A31" w:rsidP="00B9665C">
      <w:pPr>
        <w:spacing w:after="200" w:line="276" w:lineRule="auto"/>
        <w:jc w:val="both"/>
        <w:rPr>
          <w:rFonts w:ascii="Cambria" w:eastAsia="Calibri" w:hAnsi="Cambria" w:cs="Times New Roman"/>
          <w:sz w:val="24"/>
          <w:lang w:val="en-GB"/>
        </w:rPr>
      </w:pPr>
      <w:r>
        <w:rPr>
          <w:rFonts w:ascii="Cambria" w:eastAsia="Calibri" w:hAnsi="Cambria" w:cs="Times New Roman"/>
          <w:sz w:val="24"/>
          <w:lang w:val="en-GB"/>
        </w:rPr>
        <w:t>If an irregularity claimed by the taxpayer appears to be true, i.e. through the complaint setting out the justification and submitted within the deadlines, then the head of the Tax Administration shall be entitled to encourage the revocation of the decision via a written decision and release from such burden all the items under mortgage-backed security or mortgage.</w:t>
      </w:r>
    </w:p>
    <w:p w14:paraId="17D440AF" w14:textId="77777777" w:rsidR="000A7D2E" w:rsidRPr="00073984" w:rsidRDefault="000A7D2E" w:rsidP="000A7D2E">
      <w:pPr>
        <w:spacing w:after="200" w:line="276" w:lineRule="auto"/>
        <w:jc w:val="both"/>
        <w:rPr>
          <w:rFonts w:ascii="Cambria" w:eastAsia="Calibri" w:hAnsi="Cambria" w:cs="Times New Roman"/>
          <w:sz w:val="24"/>
          <w:lang w:val="en-GB"/>
        </w:rPr>
      </w:pPr>
      <w:r w:rsidRPr="00073984">
        <w:rPr>
          <w:rFonts w:ascii="Cambria" w:eastAsia="Calibri" w:hAnsi="Cambria" w:cs="Times New Roman"/>
          <w:sz w:val="24"/>
          <w:lang w:val="en-GB"/>
        </w:rPr>
        <w:lastRenderedPageBreak/>
        <w:t xml:space="preserve"> </w:t>
      </w:r>
    </w:p>
    <w:tbl>
      <w:tblPr>
        <w:tblStyle w:val="TableGrid"/>
        <w:tblW w:w="0" w:type="auto"/>
        <w:tblLook w:val="04A0" w:firstRow="1" w:lastRow="0" w:firstColumn="1" w:lastColumn="0" w:noHBand="0" w:noVBand="1"/>
      </w:tblPr>
      <w:tblGrid>
        <w:gridCol w:w="9350"/>
      </w:tblGrid>
      <w:tr w:rsidR="000A7D2E" w:rsidRPr="00073984" w14:paraId="0836E549" w14:textId="77777777" w:rsidTr="000A7D2E">
        <w:tc>
          <w:tcPr>
            <w:tcW w:w="9350" w:type="dxa"/>
          </w:tcPr>
          <w:p w14:paraId="44C228AB" w14:textId="77777777" w:rsidR="000A7D2E" w:rsidRPr="00073984" w:rsidRDefault="000A7D2E" w:rsidP="000A7D2E">
            <w:pPr>
              <w:spacing w:after="200" w:line="276" w:lineRule="auto"/>
              <w:jc w:val="both"/>
              <w:rPr>
                <w:rFonts w:ascii="Cambria" w:eastAsia="Calibri" w:hAnsi="Cambria" w:cs="Times New Roman"/>
                <w:sz w:val="24"/>
                <w:lang w:val="en-GB"/>
              </w:rPr>
            </w:pPr>
          </w:p>
          <w:p w14:paraId="679EF4F5" w14:textId="70C5CC7D" w:rsidR="000A7D2E" w:rsidRPr="00073984" w:rsidRDefault="007E3A31" w:rsidP="000A7D2E">
            <w:pPr>
              <w:spacing w:after="200" w:line="276" w:lineRule="auto"/>
              <w:jc w:val="center"/>
              <w:rPr>
                <w:rFonts w:ascii="Cambria" w:eastAsia="Calibri" w:hAnsi="Cambria" w:cs="Times New Roman"/>
                <w:b/>
                <w:i/>
                <w:color w:val="009999"/>
                <w:sz w:val="28"/>
                <w:szCs w:val="28"/>
                <w:lang w:val="en-GB"/>
              </w:rPr>
            </w:pPr>
            <w:r>
              <w:rPr>
                <w:rFonts w:ascii="Cambria" w:eastAsia="Calibri" w:hAnsi="Cambria" w:cs="Times New Roman"/>
                <w:b/>
                <w:i/>
                <w:color w:val="009999"/>
                <w:sz w:val="28"/>
                <w:szCs w:val="28"/>
                <w:lang w:val="en-GB"/>
              </w:rPr>
              <w:t>Careful</w:t>
            </w:r>
            <w:r w:rsidR="000A7D2E" w:rsidRPr="00073984">
              <w:rPr>
                <w:rFonts w:ascii="Cambria" w:eastAsia="Calibri" w:hAnsi="Cambria" w:cs="Times New Roman"/>
                <w:b/>
                <w:i/>
                <w:color w:val="009999"/>
                <w:sz w:val="28"/>
                <w:szCs w:val="28"/>
                <w:lang w:val="en-GB"/>
              </w:rPr>
              <w:t>!</w:t>
            </w:r>
          </w:p>
          <w:p w14:paraId="58285270" w14:textId="3D3BA78C" w:rsidR="000A7D2E" w:rsidRPr="00073984" w:rsidRDefault="007E3A31" w:rsidP="000A7D2E">
            <w:pPr>
              <w:spacing w:after="200" w:line="276" w:lineRule="auto"/>
              <w:jc w:val="center"/>
              <w:rPr>
                <w:rFonts w:ascii="Cambria" w:eastAsia="Calibri" w:hAnsi="Cambria" w:cs="Times New Roman"/>
                <w:i/>
                <w:sz w:val="24"/>
                <w:lang w:val="en-GB"/>
              </w:rPr>
            </w:pPr>
            <w:r>
              <w:rPr>
                <w:rFonts w:ascii="Cambria" w:eastAsia="Calibri" w:hAnsi="Cambria" w:cs="Times New Roman"/>
                <w:i/>
                <w:sz w:val="24"/>
                <w:lang w:val="en-GB"/>
              </w:rPr>
              <w:t>If the request has been submitted beyond the deadline of 30 days, it shall be considered as invalid and shall not be taken into consideration</w:t>
            </w:r>
            <w:r w:rsidR="003A5F99">
              <w:rPr>
                <w:rFonts w:ascii="Cambria" w:eastAsia="Calibri" w:hAnsi="Cambria" w:cs="Times New Roman"/>
                <w:i/>
                <w:sz w:val="24"/>
                <w:lang w:val="en-GB"/>
              </w:rPr>
              <w:t>.</w:t>
            </w:r>
            <w:bookmarkStart w:id="0" w:name="_GoBack"/>
            <w:bookmarkEnd w:id="0"/>
          </w:p>
          <w:p w14:paraId="1DEF810F" w14:textId="77777777" w:rsidR="000A7D2E" w:rsidRPr="00073984" w:rsidRDefault="000A7D2E" w:rsidP="000A7D2E">
            <w:pPr>
              <w:spacing w:after="200" w:line="276" w:lineRule="auto"/>
              <w:jc w:val="both"/>
              <w:rPr>
                <w:rFonts w:ascii="Cambria" w:eastAsia="Calibri" w:hAnsi="Cambria" w:cs="Times New Roman"/>
                <w:sz w:val="24"/>
                <w:lang w:val="en-GB"/>
              </w:rPr>
            </w:pPr>
          </w:p>
        </w:tc>
      </w:tr>
    </w:tbl>
    <w:p w14:paraId="3D06C3EA" w14:textId="77777777" w:rsidR="000A7D2E" w:rsidRPr="00073984" w:rsidRDefault="000A7D2E" w:rsidP="000A7D2E">
      <w:pPr>
        <w:spacing w:after="200" w:line="276" w:lineRule="auto"/>
        <w:jc w:val="both"/>
        <w:rPr>
          <w:rFonts w:ascii="Cambria" w:eastAsia="Calibri" w:hAnsi="Cambria" w:cs="Times New Roman"/>
          <w:sz w:val="24"/>
          <w:lang w:val="en-GB"/>
        </w:rPr>
      </w:pPr>
    </w:p>
    <w:p w14:paraId="4796A9CB" w14:textId="77777777" w:rsidR="00D75A30" w:rsidRPr="00073984" w:rsidRDefault="00D75A30" w:rsidP="000A7D2E">
      <w:pPr>
        <w:spacing w:after="0" w:line="240" w:lineRule="auto"/>
        <w:rPr>
          <w:rFonts w:ascii="Cambria" w:eastAsia="Batang" w:hAnsi="Cambria" w:cs="Times New Roman"/>
          <w:b/>
          <w:color w:val="009999"/>
          <w:sz w:val="24"/>
          <w:szCs w:val="24"/>
          <w:lang w:val="en-GB"/>
        </w:rPr>
      </w:pPr>
    </w:p>
    <w:sectPr w:rsidR="00D75A30" w:rsidRPr="0007398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9F179" w14:textId="77777777" w:rsidR="00634403" w:rsidRDefault="00634403" w:rsidP="007C2390">
      <w:pPr>
        <w:spacing w:after="0" w:line="240" w:lineRule="auto"/>
      </w:pPr>
      <w:r>
        <w:separator/>
      </w:r>
    </w:p>
  </w:endnote>
  <w:endnote w:type="continuationSeparator" w:id="0">
    <w:p w14:paraId="61170B31" w14:textId="77777777" w:rsidR="00634403" w:rsidRDefault="00634403" w:rsidP="007C2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8F910" w14:textId="77777777" w:rsidR="007C2390" w:rsidRDefault="007C2390">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E3135A">
      <w:rPr>
        <w:caps/>
        <w:noProof/>
        <w:color w:val="5B9BD5" w:themeColor="accent1"/>
      </w:rPr>
      <w:t>2</w:t>
    </w:r>
    <w:r>
      <w:rPr>
        <w:caps/>
        <w:noProof/>
        <w:color w:val="5B9BD5" w:themeColor="accent1"/>
      </w:rPr>
      <w:fldChar w:fldCharType="end"/>
    </w:r>
  </w:p>
  <w:p w14:paraId="29E7BD6B" w14:textId="77777777" w:rsidR="007C2390" w:rsidRDefault="007C2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33C4F" w14:textId="77777777" w:rsidR="00634403" w:rsidRDefault="00634403" w:rsidP="007C2390">
      <w:pPr>
        <w:spacing w:after="0" w:line="240" w:lineRule="auto"/>
      </w:pPr>
      <w:r>
        <w:separator/>
      </w:r>
    </w:p>
  </w:footnote>
  <w:footnote w:type="continuationSeparator" w:id="0">
    <w:p w14:paraId="0A836EEA" w14:textId="77777777" w:rsidR="00634403" w:rsidRDefault="00634403" w:rsidP="007C2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03D39" w14:textId="77777777" w:rsidR="007C2390" w:rsidRDefault="007C2390">
    <w:pPr>
      <w:pStyle w:val="Header"/>
    </w:pPr>
    <w:r w:rsidRPr="00873F87">
      <w:rPr>
        <w:rFonts w:ascii="Times New Roman" w:eastAsia="Batang" w:hAnsi="Times New Roman" w:cs="Times New Roman"/>
        <w:b/>
        <w:noProof/>
        <w:color w:val="009999"/>
        <w:sz w:val="28"/>
        <w:szCs w:val="28"/>
      </w:rPr>
      <w:drawing>
        <wp:anchor distT="0" distB="0" distL="114300" distR="114300" simplePos="0" relativeHeight="251659264" behindDoc="0" locked="0" layoutInCell="1" allowOverlap="0" wp14:anchorId="685BE295" wp14:editId="28106A36">
          <wp:simplePos x="0" y="0"/>
          <wp:positionH relativeFrom="page">
            <wp:posOffset>0</wp:posOffset>
          </wp:positionH>
          <wp:positionV relativeFrom="page">
            <wp:posOffset>19050</wp:posOffset>
          </wp:positionV>
          <wp:extent cx="7743825" cy="1238250"/>
          <wp:effectExtent l="0" t="0" r="9525" b="0"/>
          <wp:wrapTopAndBottom/>
          <wp:docPr id="1" name="Picture 1" descr="C:\Users\Pranvera\Desktop\E drejta e zbritjes se TVSH - lajminr.1 (2) (3)-page-001 (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nvera\Desktop\E drejta e zbritjes se TVSH - lajminr.1 (2) (3)-page-001 (1)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49B050" w14:textId="77777777" w:rsidR="007C2390" w:rsidRDefault="007C23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C5ECC"/>
    <w:multiLevelType w:val="hybridMultilevel"/>
    <w:tmpl w:val="AFB42006"/>
    <w:lvl w:ilvl="0" w:tplc="664270AA">
      <w:start w:val="1"/>
      <w:numFmt w:val="decimal"/>
      <w:lvlText w:val="%1."/>
      <w:lvlJc w:val="left"/>
      <w:pPr>
        <w:ind w:left="360" w:hanging="360"/>
      </w:pPr>
      <w:rPr>
        <w:rFonts w:eastAsia="Times New Roman" w:hint="default"/>
        <w:color w:val="00000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AF1D99"/>
    <w:multiLevelType w:val="hybridMultilevel"/>
    <w:tmpl w:val="247038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346CD"/>
    <w:multiLevelType w:val="hybridMultilevel"/>
    <w:tmpl w:val="3CA4EC52"/>
    <w:lvl w:ilvl="0" w:tplc="A3A0E334">
      <w:start w:val="1"/>
      <w:numFmt w:val="lowerLetter"/>
      <w:lvlText w:val="%1)"/>
      <w:lvlJc w:val="left"/>
      <w:pPr>
        <w:ind w:left="360" w:hanging="360"/>
      </w:pPr>
      <w:rPr>
        <w:rFonts w:hint="default"/>
        <w:color w:val="00808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FD4826"/>
    <w:multiLevelType w:val="hybridMultilevel"/>
    <w:tmpl w:val="D7A8EF66"/>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33090C"/>
    <w:multiLevelType w:val="hybridMultilevel"/>
    <w:tmpl w:val="3560F3EC"/>
    <w:lvl w:ilvl="0" w:tplc="DA72F8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364A16"/>
    <w:multiLevelType w:val="hybridMultilevel"/>
    <w:tmpl w:val="0A7E0202"/>
    <w:lvl w:ilvl="0" w:tplc="3B92BD62">
      <w:start w:val="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75766A"/>
    <w:multiLevelType w:val="hybridMultilevel"/>
    <w:tmpl w:val="1CEE1E4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7" w15:restartNumberingAfterBreak="0">
    <w:nsid w:val="27A3444C"/>
    <w:multiLevelType w:val="hybridMultilevel"/>
    <w:tmpl w:val="8EAE3C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AE5AF6"/>
    <w:multiLevelType w:val="hybridMultilevel"/>
    <w:tmpl w:val="97A4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AD08B1"/>
    <w:multiLevelType w:val="hybridMultilevel"/>
    <w:tmpl w:val="44BAFE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325FAC"/>
    <w:multiLevelType w:val="hybridMultilevel"/>
    <w:tmpl w:val="1BCA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BB68BD"/>
    <w:multiLevelType w:val="hybridMultilevel"/>
    <w:tmpl w:val="EE1E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C104B8"/>
    <w:multiLevelType w:val="hybridMultilevel"/>
    <w:tmpl w:val="4EE63F9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9A7245"/>
    <w:multiLevelType w:val="hybridMultilevel"/>
    <w:tmpl w:val="92AA1612"/>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AB1224"/>
    <w:multiLevelType w:val="hybridMultilevel"/>
    <w:tmpl w:val="48F435DE"/>
    <w:lvl w:ilvl="0" w:tplc="041C0001">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5" w15:restartNumberingAfterBreak="0">
    <w:nsid w:val="4DDF2E43"/>
    <w:multiLevelType w:val="hybridMultilevel"/>
    <w:tmpl w:val="131C98E0"/>
    <w:lvl w:ilvl="0" w:tplc="0409001B">
      <w:start w:val="1"/>
      <w:numFmt w:val="lowerRoman"/>
      <w:lvlText w:val="%1."/>
      <w:lvlJc w:val="righ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6" w15:restartNumberingAfterBreak="0">
    <w:nsid w:val="4E514455"/>
    <w:multiLevelType w:val="hybridMultilevel"/>
    <w:tmpl w:val="EB50EC7A"/>
    <w:lvl w:ilvl="0" w:tplc="C10A0D58">
      <w:start w:val="1"/>
      <w:numFmt w:val="bullet"/>
      <w:lvlText w:val=""/>
      <w:lvlJc w:val="left"/>
      <w:pPr>
        <w:ind w:left="780" w:hanging="360"/>
      </w:pPr>
      <w:rPr>
        <w:rFonts w:ascii="Symbol" w:hAnsi="Symbol" w:hint="default"/>
        <w:color w:val="009999"/>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5B3F59B8"/>
    <w:multiLevelType w:val="hybridMultilevel"/>
    <w:tmpl w:val="58A6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886128"/>
    <w:multiLevelType w:val="hybridMultilevel"/>
    <w:tmpl w:val="244A9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3A7049"/>
    <w:multiLevelType w:val="hybridMultilevel"/>
    <w:tmpl w:val="D01A1FA8"/>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DF1D71"/>
    <w:multiLevelType w:val="hybridMultilevel"/>
    <w:tmpl w:val="7DE8C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EA421F"/>
    <w:multiLevelType w:val="hybridMultilevel"/>
    <w:tmpl w:val="1F6602C2"/>
    <w:lvl w:ilvl="0" w:tplc="128CFDF4">
      <w:start w:val="1"/>
      <w:numFmt w:val="bullet"/>
      <w:lvlText w:val=""/>
      <w:lvlJc w:val="left"/>
      <w:pPr>
        <w:ind w:left="720" w:hanging="360"/>
      </w:pPr>
      <w:rPr>
        <w:rFonts w:ascii="Wingdings" w:hAnsi="Wingdings"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EE1FED"/>
    <w:multiLevelType w:val="hybridMultilevel"/>
    <w:tmpl w:val="A426E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B57124"/>
    <w:multiLevelType w:val="hybridMultilevel"/>
    <w:tmpl w:val="C8FCFD80"/>
    <w:lvl w:ilvl="0" w:tplc="750CEB6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08E48DA"/>
    <w:multiLevelType w:val="hybridMultilevel"/>
    <w:tmpl w:val="24E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730DA3"/>
    <w:multiLevelType w:val="hybridMultilevel"/>
    <w:tmpl w:val="AD96C034"/>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8"/>
  </w:num>
  <w:num w:numId="4">
    <w:abstractNumId w:val="17"/>
  </w:num>
  <w:num w:numId="5">
    <w:abstractNumId w:val="4"/>
  </w:num>
  <w:num w:numId="6">
    <w:abstractNumId w:val="12"/>
  </w:num>
  <w:num w:numId="7">
    <w:abstractNumId w:val="3"/>
  </w:num>
  <w:num w:numId="8">
    <w:abstractNumId w:val="9"/>
  </w:num>
  <w:num w:numId="9">
    <w:abstractNumId w:val="16"/>
  </w:num>
  <w:num w:numId="10">
    <w:abstractNumId w:val="19"/>
  </w:num>
  <w:num w:numId="11">
    <w:abstractNumId w:val="21"/>
  </w:num>
  <w:num w:numId="12">
    <w:abstractNumId w:val="22"/>
  </w:num>
  <w:num w:numId="13">
    <w:abstractNumId w:val="20"/>
  </w:num>
  <w:num w:numId="14">
    <w:abstractNumId w:val="11"/>
  </w:num>
  <w:num w:numId="15">
    <w:abstractNumId w:val="8"/>
  </w:num>
  <w:num w:numId="16">
    <w:abstractNumId w:val="13"/>
  </w:num>
  <w:num w:numId="17">
    <w:abstractNumId w:val="25"/>
  </w:num>
  <w:num w:numId="18">
    <w:abstractNumId w:val="0"/>
  </w:num>
  <w:num w:numId="19">
    <w:abstractNumId w:val="5"/>
  </w:num>
  <w:num w:numId="20">
    <w:abstractNumId w:val="1"/>
  </w:num>
  <w:num w:numId="21">
    <w:abstractNumId w:val="2"/>
  </w:num>
  <w:num w:numId="22">
    <w:abstractNumId w:val="23"/>
  </w:num>
  <w:num w:numId="23">
    <w:abstractNumId w:val="10"/>
  </w:num>
  <w:num w:numId="24">
    <w:abstractNumId w:val="24"/>
  </w:num>
  <w:num w:numId="25">
    <w:abstractNumId w:val="6"/>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906"/>
    <w:rsid w:val="00013882"/>
    <w:rsid w:val="00040BEB"/>
    <w:rsid w:val="00073984"/>
    <w:rsid w:val="000A7D2E"/>
    <w:rsid w:val="000B0D46"/>
    <w:rsid w:val="00102300"/>
    <w:rsid w:val="00106871"/>
    <w:rsid w:val="0017348F"/>
    <w:rsid w:val="00173662"/>
    <w:rsid w:val="001770F8"/>
    <w:rsid w:val="00196A88"/>
    <w:rsid w:val="001B3C0E"/>
    <w:rsid w:val="001E0DCA"/>
    <w:rsid w:val="002E0DA7"/>
    <w:rsid w:val="00304616"/>
    <w:rsid w:val="00313CEC"/>
    <w:rsid w:val="00340CF2"/>
    <w:rsid w:val="003715CA"/>
    <w:rsid w:val="003A5F99"/>
    <w:rsid w:val="003C678F"/>
    <w:rsid w:val="00446364"/>
    <w:rsid w:val="004702F5"/>
    <w:rsid w:val="0048615D"/>
    <w:rsid w:val="004B1F60"/>
    <w:rsid w:val="004C1511"/>
    <w:rsid w:val="004F48B1"/>
    <w:rsid w:val="00634403"/>
    <w:rsid w:val="00663DEA"/>
    <w:rsid w:val="00671AEB"/>
    <w:rsid w:val="00675489"/>
    <w:rsid w:val="006A7EA6"/>
    <w:rsid w:val="006C284D"/>
    <w:rsid w:val="006E04EC"/>
    <w:rsid w:val="007100E4"/>
    <w:rsid w:val="00735ECF"/>
    <w:rsid w:val="00756D3F"/>
    <w:rsid w:val="007616DC"/>
    <w:rsid w:val="00784468"/>
    <w:rsid w:val="007979A2"/>
    <w:rsid w:val="007A0B4E"/>
    <w:rsid w:val="007C10EE"/>
    <w:rsid w:val="007C2390"/>
    <w:rsid w:val="007D787E"/>
    <w:rsid w:val="007E3A31"/>
    <w:rsid w:val="007E76BE"/>
    <w:rsid w:val="00814919"/>
    <w:rsid w:val="00825BF5"/>
    <w:rsid w:val="00833A32"/>
    <w:rsid w:val="00873F87"/>
    <w:rsid w:val="0088090C"/>
    <w:rsid w:val="00890BEC"/>
    <w:rsid w:val="008956CD"/>
    <w:rsid w:val="00924C3E"/>
    <w:rsid w:val="00941E34"/>
    <w:rsid w:val="00971A04"/>
    <w:rsid w:val="009A118A"/>
    <w:rsid w:val="009A26CE"/>
    <w:rsid w:val="009C7F54"/>
    <w:rsid w:val="00A01315"/>
    <w:rsid w:val="00A019E3"/>
    <w:rsid w:val="00A46A34"/>
    <w:rsid w:val="00A57C23"/>
    <w:rsid w:val="00A66982"/>
    <w:rsid w:val="00AB2AE8"/>
    <w:rsid w:val="00B067A5"/>
    <w:rsid w:val="00B15073"/>
    <w:rsid w:val="00B26280"/>
    <w:rsid w:val="00B54F7B"/>
    <w:rsid w:val="00B57D16"/>
    <w:rsid w:val="00B62A04"/>
    <w:rsid w:val="00B9665C"/>
    <w:rsid w:val="00BD4EE5"/>
    <w:rsid w:val="00BD5DA5"/>
    <w:rsid w:val="00C02A94"/>
    <w:rsid w:val="00C054B5"/>
    <w:rsid w:val="00C30492"/>
    <w:rsid w:val="00CC146A"/>
    <w:rsid w:val="00CC5F78"/>
    <w:rsid w:val="00D01C38"/>
    <w:rsid w:val="00D1338D"/>
    <w:rsid w:val="00D72738"/>
    <w:rsid w:val="00D75A30"/>
    <w:rsid w:val="00DD7BEE"/>
    <w:rsid w:val="00DF1B1B"/>
    <w:rsid w:val="00E11906"/>
    <w:rsid w:val="00E11A13"/>
    <w:rsid w:val="00E150BB"/>
    <w:rsid w:val="00E152A3"/>
    <w:rsid w:val="00E2237D"/>
    <w:rsid w:val="00E3135A"/>
    <w:rsid w:val="00E36C6B"/>
    <w:rsid w:val="00E41DED"/>
    <w:rsid w:val="00E61FD3"/>
    <w:rsid w:val="00EB0A8A"/>
    <w:rsid w:val="00EE2FFA"/>
    <w:rsid w:val="00F04F01"/>
    <w:rsid w:val="00F1708B"/>
    <w:rsid w:val="00F25B68"/>
    <w:rsid w:val="00FA1B9A"/>
    <w:rsid w:val="00FB74BD"/>
    <w:rsid w:val="00FC53C8"/>
    <w:rsid w:val="00FD1BA7"/>
    <w:rsid w:val="00FE1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A2EA0"/>
  <w15:chartTrackingRefBased/>
  <w15:docId w15:val="{E9E38BDD-1B0D-42FF-92E4-C86BBAEC1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AEB"/>
    <w:pPr>
      <w:ind w:left="720"/>
      <w:contextualSpacing/>
    </w:pPr>
    <w:rPr>
      <w:rFonts w:eastAsia="MS Mincho"/>
    </w:rPr>
  </w:style>
  <w:style w:type="paragraph" w:styleId="BalloonText">
    <w:name w:val="Balloon Text"/>
    <w:basedOn w:val="Normal"/>
    <w:link w:val="BalloonTextChar"/>
    <w:uiPriority w:val="99"/>
    <w:semiHidden/>
    <w:unhideWhenUsed/>
    <w:rsid w:val="00B26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280"/>
    <w:rPr>
      <w:rFonts w:ascii="Segoe UI" w:hAnsi="Segoe UI" w:cs="Segoe UI"/>
      <w:sz w:val="18"/>
      <w:szCs w:val="18"/>
    </w:rPr>
  </w:style>
  <w:style w:type="paragraph" w:customStyle="1" w:styleId="Default">
    <w:name w:val="Default"/>
    <w:rsid w:val="00D75A3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7C23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390"/>
  </w:style>
  <w:style w:type="paragraph" w:styleId="Footer">
    <w:name w:val="footer"/>
    <w:basedOn w:val="Normal"/>
    <w:link w:val="FooterChar"/>
    <w:uiPriority w:val="99"/>
    <w:unhideWhenUsed/>
    <w:rsid w:val="007C23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390"/>
  </w:style>
  <w:style w:type="table" w:styleId="TableGrid">
    <w:name w:val="Table Grid"/>
    <w:basedOn w:val="TableNormal"/>
    <w:uiPriority w:val="39"/>
    <w:rsid w:val="00CC1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0020spacing">
    <w:name w:val="no_0020spacing"/>
    <w:basedOn w:val="Normal"/>
    <w:rsid w:val="00F1708B"/>
    <w:pPr>
      <w:spacing w:after="0" w:line="240" w:lineRule="atLeast"/>
    </w:pPr>
    <w:rPr>
      <w:rFonts w:ascii="Calibri" w:eastAsia="Times New Roman" w:hAnsi="Calibri" w:cs="Calibri"/>
    </w:rPr>
  </w:style>
  <w:style w:type="paragraph" w:styleId="NoSpacing">
    <w:name w:val="No Spacing"/>
    <w:uiPriority w:val="1"/>
    <w:qFormat/>
    <w:rsid w:val="00F170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B5C33-B21E-44F0-9BDD-B67A3A52C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Pranvera</dc:creator>
  <cp:keywords/>
  <dc:description/>
  <cp:lastModifiedBy>Aldo Abazi</cp:lastModifiedBy>
  <cp:revision>7</cp:revision>
  <cp:lastPrinted>2018-03-05T15:54:00Z</cp:lastPrinted>
  <dcterms:created xsi:type="dcterms:W3CDTF">2019-05-01T15:43:00Z</dcterms:created>
  <dcterms:modified xsi:type="dcterms:W3CDTF">2019-05-01T16:04:00Z</dcterms:modified>
</cp:coreProperties>
</file>